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黑体" w:hAnsi="黑体" w:eastAsia="黑体"/>
          <w:sz w:val="32"/>
          <w:szCs w:val="32"/>
        </w:rPr>
      </w:pPr>
      <w:bookmarkStart w:id="11" w:name="_GoBack"/>
      <w:bookmarkEnd w:id="11"/>
      <w:bookmarkStart w:id="0" w:name="OLE_LINK1"/>
      <w:bookmarkStart w:id="1" w:name="OLE_LINK2"/>
      <w:bookmarkStart w:id="2" w:name="OLE_LINK4"/>
      <w:bookmarkStart w:id="3" w:name="OLE_LINK7"/>
      <w:r>
        <w:rPr>
          <w:rFonts w:hint="eastAsia" w:ascii="黑体" w:hAnsi="黑体" w:eastAsia="黑体"/>
          <w:sz w:val="32"/>
          <w:szCs w:val="32"/>
        </w:rPr>
        <w:t>附件</w:t>
      </w:r>
      <w:r>
        <w:rPr>
          <w:rFonts w:ascii="黑体" w:hAnsi="黑体" w:eastAsia="黑体"/>
          <w:sz w:val="32"/>
          <w:szCs w:val="32"/>
        </w:rPr>
        <w:t>2</w:t>
      </w:r>
      <w:r>
        <w:rPr>
          <w:rFonts w:hint="eastAsia" w:ascii="黑体" w:hAnsi="黑体" w:eastAsia="黑体"/>
          <w:sz w:val="32"/>
          <w:szCs w:val="32"/>
        </w:rPr>
        <w:t>：</w:t>
      </w:r>
    </w:p>
    <w:p>
      <w:pPr>
        <w:spacing w:line="360" w:lineRule="auto"/>
        <w:jc w:val="center"/>
        <w:rPr>
          <w:rFonts w:ascii="宋体"/>
          <w:b/>
          <w:sz w:val="44"/>
          <w:szCs w:val="44"/>
        </w:rPr>
      </w:pPr>
      <w:r>
        <w:rPr>
          <w:rFonts w:ascii="宋体" w:hAnsi="宋体"/>
          <w:b/>
          <w:sz w:val="44"/>
          <w:szCs w:val="44"/>
        </w:rPr>
        <w:t>2017-2018</w:t>
      </w:r>
      <w:r>
        <w:rPr>
          <w:rFonts w:hint="eastAsia" w:ascii="宋体" w:hAnsi="宋体"/>
          <w:b/>
          <w:sz w:val="44"/>
          <w:szCs w:val="44"/>
        </w:rPr>
        <w:t>学年第一学期网络进阶式课程选课指南</w:t>
      </w:r>
    </w:p>
    <w:p>
      <w:pPr>
        <w:spacing w:line="360" w:lineRule="auto"/>
        <w:rPr>
          <w:rFonts w:ascii="仿宋" w:hAnsi="仿宋" w:eastAsia="仿宋"/>
          <w:sz w:val="32"/>
          <w:szCs w:val="32"/>
        </w:rPr>
      </w:pPr>
      <w:bookmarkStart w:id="4" w:name="OLE_LINK10"/>
      <w:bookmarkStart w:id="5" w:name="OLE_LINK5"/>
      <w:bookmarkStart w:id="6" w:name="OLE_LINK12"/>
      <w:bookmarkStart w:id="7" w:name="OLE_LINK6"/>
      <w:bookmarkStart w:id="8" w:name="OLE_LINK8"/>
      <w:bookmarkStart w:id="9" w:name="OLE_LINK11"/>
      <w:bookmarkStart w:id="10" w:name="OLE_LINK3"/>
      <w:r>
        <w:rPr>
          <w:rFonts w:ascii="仿宋" w:hAnsi="仿宋" w:eastAsia="仿宋"/>
          <w:sz w:val="32"/>
          <w:szCs w:val="32"/>
        </w:rPr>
        <w:t>  2017-2018</w:t>
      </w:r>
      <w:r>
        <w:rPr>
          <w:rFonts w:hint="eastAsia" w:ascii="仿宋" w:hAnsi="仿宋" w:eastAsia="仿宋"/>
          <w:sz w:val="32"/>
          <w:szCs w:val="32"/>
        </w:rPr>
        <w:t>学年第一学期网络进阶式课程将开设</w:t>
      </w:r>
      <w:r>
        <w:rPr>
          <w:rFonts w:ascii="仿宋" w:hAnsi="仿宋" w:eastAsia="仿宋"/>
          <w:sz w:val="32"/>
          <w:szCs w:val="32"/>
        </w:rPr>
        <w:t>12</w:t>
      </w:r>
      <w:r>
        <w:rPr>
          <w:rFonts w:hint="eastAsia" w:ascii="仿宋" w:hAnsi="仿宋" w:eastAsia="仿宋"/>
          <w:sz w:val="32"/>
          <w:szCs w:val="32"/>
        </w:rPr>
        <w:t>门，为方便同学们及时了解课程开设情况，现将有关事项说明如下：</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一、开设课程</w:t>
      </w:r>
    </w:p>
    <w:p>
      <w:pPr>
        <w:spacing w:line="360" w:lineRule="auto"/>
        <w:rPr>
          <w:rFonts w:ascii="仿宋" w:hAnsi="仿宋" w:eastAsia="仿宋"/>
          <w:sz w:val="32"/>
          <w:szCs w:val="32"/>
        </w:rPr>
      </w:pPr>
      <w:r>
        <w:rPr>
          <w:rFonts w:ascii="仿宋" w:hAnsi="仿宋" w:eastAsia="仿宋"/>
          <w:sz w:val="32"/>
          <w:szCs w:val="32"/>
        </w:rPr>
        <w:t>  1.</w:t>
      </w:r>
      <w:r>
        <w:rPr>
          <w:rFonts w:hint="eastAsia" w:ascii="仿宋" w:hAnsi="仿宋" w:eastAsia="仿宋"/>
          <w:sz w:val="32"/>
          <w:szCs w:val="32"/>
        </w:rPr>
        <w:t>《昆曲艺术》，主讲教师：文学院周秦教授等；</w:t>
      </w:r>
    </w:p>
    <w:p>
      <w:pPr>
        <w:spacing w:line="360" w:lineRule="auto"/>
        <w:rPr>
          <w:rFonts w:ascii="仿宋" w:hAnsi="仿宋" w:eastAsia="仿宋"/>
          <w:sz w:val="32"/>
          <w:szCs w:val="32"/>
        </w:rPr>
      </w:pPr>
      <w:r>
        <w:rPr>
          <w:rFonts w:ascii="仿宋" w:hAnsi="仿宋" w:eastAsia="仿宋"/>
          <w:sz w:val="32"/>
          <w:szCs w:val="32"/>
        </w:rPr>
        <w:t>  2.</w:t>
      </w:r>
      <w:r>
        <w:rPr>
          <w:rFonts w:hint="eastAsia" w:ascii="仿宋" w:hAnsi="仿宋" w:eastAsia="仿宋"/>
          <w:sz w:val="32"/>
          <w:szCs w:val="32"/>
        </w:rPr>
        <w:t>《创意、视觉、传播、营销</w:t>
      </w:r>
      <w:r>
        <w:rPr>
          <w:rFonts w:ascii="仿宋" w:hAnsi="仿宋" w:eastAsia="仿宋"/>
          <w:sz w:val="32"/>
          <w:szCs w:val="32"/>
        </w:rPr>
        <w:t>——</w:t>
      </w:r>
      <w:r>
        <w:rPr>
          <w:rFonts w:hint="eastAsia" w:ascii="仿宋" w:hAnsi="仿宋" w:eastAsia="仿宋"/>
          <w:sz w:val="32"/>
          <w:szCs w:val="32"/>
        </w:rPr>
        <w:t>理解广告》，主讲教师：凤凰传媒学院胡明宇副教授等；</w:t>
      </w:r>
    </w:p>
    <w:p>
      <w:pPr>
        <w:spacing w:line="360" w:lineRule="auto"/>
        <w:ind w:firstLine="640" w:firstLineChars="20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《中国</w:t>
      </w:r>
      <w:r>
        <w:rPr>
          <w:rFonts w:ascii="仿宋" w:hAnsi="仿宋" w:eastAsia="仿宋"/>
          <w:sz w:val="32"/>
          <w:szCs w:val="32"/>
        </w:rPr>
        <w:t>现当代通俗小说与网络小说</w:t>
      </w:r>
      <w:r>
        <w:rPr>
          <w:rFonts w:hint="eastAsia" w:ascii="仿宋" w:hAnsi="仿宋" w:eastAsia="仿宋"/>
          <w:sz w:val="32"/>
          <w:szCs w:val="32"/>
        </w:rPr>
        <w:t>》，</w:t>
      </w:r>
      <w:r>
        <w:rPr>
          <w:rFonts w:ascii="仿宋" w:hAnsi="仿宋" w:eastAsia="仿宋"/>
          <w:sz w:val="32"/>
          <w:szCs w:val="32"/>
        </w:rPr>
        <w:t>主讲教师：文学院汤哲声教授；</w:t>
      </w:r>
    </w:p>
    <w:p>
      <w:pPr>
        <w:spacing w:line="360" w:lineRule="auto"/>
        <w:ind w:firstLine="640" w:firstLineChars="20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《江南</w:t>
      </w:r>
      <w:r>
        <w:rPr>
          <w:rFonts w:ascii="仿宋" w:hAnsi="仿宋" w:eastAsia="仿宋"/>
          <w:sz w:val="32"/>
          <w:szCs w:val="32"/>
        </w:rPr>
        <w:t>古代都会建筑与生态美学</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w:t>
      </w:r>
      <w:r>
        <w:rPr>
          <w:rFonts w:ascii="仿宋" w:hAnsi="仿宋" w:eastAsia="仿宋"/>
          <w:sz w:val="32"/>
          <w:szCs w:val="32"/>
        </w:rPr>
        <w:t>文学院王耘教授；</w:t>
      </w:r>
    </w:p>
    <w:p>
      <w:pPr>
        <w:spacing w:line="360" w:lineRule="auto"/>
        <w:ind w:firstLine="640" w:firstLineChars="20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《影视中</w:t>
      </w:r>
      <w:r>
        <w:rPr>
          <w:rFonts w:ascii="仿宋" w:hAnsi="仿宋" w:eastAsia="仿宋"/>
          <w:sz w:val="32"/>
          <w:szCs w:val="32"/>
        </w:rPr>
        <w:t>的戏曲艺术</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文学院</w:t>
      </w:r>
      <w:r>
        <w:rPr>
          <w:rFonts w:ascii="仿宋" w:hAnsi="仿宋" w:eastAsia="仿宋"/>
          <w:sz w:val="32"/>
          <w:szCs w:val="32"/>
        </w:rPr>
        <w:t>邵雯艳副教授；</w:t>
      </w:r>
    </w:p>
    <w:p>
      <w:pPr>
        <w:spacing w:line="360" w:lineRule="auto"/>
        <w:ind w:firstLine="640" w:firstLineChars="200"/>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《放射</w:t>
      </w:r>
      <w:r>
        <w:rPr>
          <w:rFonts w:ascii="仿宋" w:hAnsi="仿宋" w:eastAsia="仿宋"/>
          <w:sz w:val="32"/>
          <w:szCs w:val="32"/>
        </w:rPr>
        <w:t>医学概论</w:t>
      </w:r>
      <w:r>
        <w:rPr>
          <w:rFonts w:hint="eastAsia" w:ascii="仿宋" w:hAnsi="仿宋" w:eastAsia="仿宋"/>
          <w:sz w:val="32"/>
          <w:szCs w:val="32"/>
        </w:rPr>
        <w:t>》，</w:t>
      </w:r>
      <w:r>
        <w:rPr>
          <w:rFonts w:ascii="仿宋" w:hAnsi="仿宋" w:eastAsia="仿宋"/>
          <w:sz w:val="32"/>
          <w:szCs w:val="32"/>
        </w:rPr>
        <w:t>主讲教师：</w:t>
      </w:r>
      <w:r>
        <w:rPr>
          <w:rFonts w:hint="eastAsia" w:ascii="仿宋" w:hAnsi="仿宋" w:eastAsia="仿宋"/>
          <w:sz w:val="32"/>
          <w:szCs w:val="32"/>
        </w:rPr>
        <w:t>医学部</w:t>
      </w:r>
      <w:r>
        <w:rPr>
          <w:rFonts w:ascii="仿宋" w:hAnsi="仿宋" w:eastAsia="仿宋"/>
          <w:sz w:val="32"/>
          <w:szCs w:val="32"/>
        </w:rPr>
        <w:t>许玉杰教授</w:t>
      </w:r>
      <w:r>
        <w:rPr>
          <w:rFonts w:hint="eastAsia" w:ascii="仿宋" w:hAnsi="仿宋" w:eastAsia="仿宋"/>
          <w:sz w:val="32"/>
          <w:szCs w:val="32"/>
        </w:rPr>
        <w:t>等</w:t>
      </w:r>
      <w:r>
        <w:rPr>
          <w:rFonts w:ascii="仿宋" w:hAnsi="仿宋" w:eastAsia="仿宋"/>
          <w:sz w:val="32"/>
          <w:szCs w:val="32"/>
        </w:rPr>
        <w:t>；</w:t>
      </w:r>
    </w:p>
    <w:p>
      <w:pPr>
        <w:spacing w:line="360" w:lineRule="auto"/>
        <w:ind w:firstLine="645"/>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《信息检索》，教学团队：图书馆徐旭</w:t>
      </w:r>
      <w:r>
        <w:rPr>
          <w:rFonts w:ascii="仿宋" w:hAnsi="仿宋" w:eastAsia="仿宋"/>
          <w:sz w:val="32"/>
          <w:szCs w:val="32"/>
        </w:rPr>
        <w:t>光老师</w:t>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ascii="仿宋" w:hAnsi="仿宋" w:eastAsia="仿宋"/>
          <w:sz w:val="32"/>
          <w:szCs w:val="32"/>
        </w:rPr>
        <w:t>8.</w:t>
      </w:r>
      <w:r>
        <w:rPr>
          <w:rFonts w:hint="eastAsia" w:ascii="仿宋" w:hAnsi="仿宋" w:eastAsia="仿宋"/>
          <w:sz w:val="32"/>
          <w:szCs w:val="32"/>
        </w:rPr>
        <w:t>《纳米新纪元》，主讲教师：纳米科学技术学院林海平老师；</w:t>
      </w:r>
    </w:p>
    <w:p>
      <w:pPr>
        <w:spacing w:line="360" w:lineRule="auto"/>
        <w:rPr>
          <w:rFonts w:ascii="仿宋" w:hAnsi="仿宋" w:eastAsia="仿宋"/>
          <w:sz w:val="32"/>
          <w:szCs w:val="32"/>
        </w:rPr>
      </w:pPr>
      <w:r>
        <w:rPr>
          <w:rFonts w:ascii="仿宋" w:hAnsi="仿宋" w:eastAsia="仿宋"/>
          <w:sz w:val="32"/>
          <w:szCs w:val="32"/>
        </w:rPr>
        <w:t>  9</w:t>
      </w:r>
      <w:r>
        <w:rPr>
          <w:rFonts w:hint="eastAsia" w:ascii="仿宋" w:hAnsi="仿宋" w:eastAsia="仿宋"/>
          <w:sz w:val="32"/>
          <w:szCs w:val="32"/>
        </w:rPr>
        <w:t>．《吴文化史专题》，教学团队：社会学院王卫平教授、朱小田教授、黄鸿山副教授；</w:t>
      </w:r>
    </w:p>
    <w:p>
      <w:pPr>
        <w:spacing w:line="360" w:lineRule="auto"/>
        <w:rPr>
          <w:rFonts w:ascii="仿宋" w:hAnsi="仿宋" w:eastAsia="仿宋"/>
          <w:sz w:val="32"/>
          <w:szCs w:val="32"/>
        </w:rPr>
      </w:pPr>
      <w:r>
        <w:rPr>
          <w:rFonts w:ascii="仿宋" w:hAnsi="仿宋" w:eastAsia="仿宋"/>
          <w:sz w:val="32"/>
          <w:szCs w:val="32"/>
        </w:rPr>
        <w:t>  10</w:t>
      </w:r>
      <w:r>
        <w:rPr>
          <w:rFonts w:hint="eastAsia" w:ascii="仿宋" w:hAnsi="仿宋" w:eastAsia="仿宋"/>
          <w:sz w:val="32"/>
          <w:szCs w:val="32"/>
        </w:rPr>
        <w:t>．《丝绸文化与产品》，教学团队：纺织与服装工程学院潘志娟教授、冯岑副教授、李春萍副教授；</w:t>
      </w:r>
    </w:p>
    <w:p>
      <w:pPr>
        <w:spacing w:line="360" w:lineRule="auto"/>
        <w:rPr>
          <w:rFonts w:ascii="仿宋" w:hAnsi="仿宋" w:eastAsia="仿宋"/>
          <w:sz w:val="32"/>
          <w:szCs w:val="32"/>
        </w:rPr>
      </w:pPr>
      <w:r>
        <w:rPr>
          <w:rFonts w:ascii="仿宋" w:hAnsi="仿宋" w:eastAsia="仿宋"/>
          <w:sz w:val="32"/>
          <w:szCs w:val="32"/>
        </w:rPr>
        <w:t>  11</w:t>
      </w:r>
      <w:r>
        <w:rPr>
          <w:rFonts w:hint="eastAsia" w:ascii="仿宋" w:hAnsi="仿宋" w:eastAsia="仿宋"/>
          <w:sz w:val="32"/>
          <w:szCs w:val="32"/>
        </w:rPr>
        <w:t>．《先进机器人技术》，教学团队：机电工程学院孙立宁教授、陈涛副教授、陈国栋副教授；</w:t>
      </w:r>
    </w:p>
    <w:p>
      <w:pPr>
        <w:spacing w:line="360" w:lineRule="auto"/>
        <w:ind w:firstLine="640" w:firstLineChars="200"/>
        <w:rPr>
          <w:rFonts w:ascii="仿宋" w:hAnsi="仿宋" w:eastAsia="仿宋" w:cs="Arial"/>
          <w:sz w:val="32"/>
          <w:szCs w:val="32"/>
        </w:rPr>
      </w:pPr>
      <w:r>
        <w:rPr>
          <w:rFonts w:ascii="仿宋" w:hAnsi="仿宋" w:eastAsia="仿宋"/>
          <w:sz w:val="32"/>
          <w:szCs w:val="32"/>
        </w:rPr>
        <w:t>12</w:t>
      </w:r>
      <w:r>
        <w:rPr>
          <w:rFonts w:hint="eastAsia" w:ascii="仿宋" w:hAnsi="仿宋" w:eastAsia="仿宋"/>
          <w:sz w:val="32"/>
          <w:szCs w:val="32"/>
        </w:rPr>
        <w:t>.《辐射与健康》，教学团队：医学部涂彧教授、</w:t>
      </w:r>
      <w:r>
        <w:rPr>
          <w:rFonts w:hint="eastAsia" w:ascii="仿宋" w:hAnsi="仿宋" w:eastAsia="仿宋" w:cs="Arial"/>
          <w:sz w:val="32"/>
          <w:szCs w:val="32"/>
        </w:rPr>
        <w:t>王殳凹教授、孙亮副教授。</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二、选课时间及方式</w:t>
      </w:r>
    </w:p>
    <w:p>
      <w:pPr>
        <w:spacing w:line="360" w:lineRule="auto"/>
        <w:ind w:firstLine="640" w:firstLineChars="200"/>
        <w:rPr>
          <w:rFonts w:hint="eastAsia" w:ascii="仿宋" w:hAnsi="仿宋" w:eastAsia="仿宋" w:cs="Arial"/>
          <w:sz w:val="32"/>
          <w:szCs w:val="32"/>
        </w:rPr>
      </w:pPr>
      <w:r>
        <w:rPr>
          <w:rFonts w:hint="eastAsia" w:ascii="仿宋" w:hAnsi="仿宋" w:eastAsia="仿宋" w:cs="Arial"/>
          <w:sz w:val="32"/>
          <w:szCs w:val="32"/>
          <w:lang w:val="en-US" w:eastAsia="zh-CN"/>
        </w:rPr>
        <w:t>5</w:t>
      </w:r>
      <w:r>
        <w:rPr>
          <w:rFonts w:hint="eastAsia" w:ascii="仿宋" w:hAnsi="仿宋" w:eastAsia="仿宋" w:cs="Arial"/>
          <w:sz w:val="32"/>
          <w:szCs w:val="32"/>
        </w:rPr>
        <w:t>月</w:t>
      </w:r>
      <w:r>
        <w:rPr>
          <w:rFonts w:hint="eastAsia" w:ascii="仿宋" w:hAnsi="仿宋" w:eastAsia="仿宋" w:cs="Arial"/>
          <w:sz w:val="32"/>
          <w:szCs w:val="32"/>
          <w:lang w:val="en-US" w:eastAsia="zh-CN"/>
        </w:rPr>
        <w:t>23</w:t>
      </w:r>
      <w:r>
        <w:rPr>
          <w:rFonts w:hint="eastAsia" w:ascii="仿宋" w:hAnsi="仿宋" w:eastAsia="仿宋" w:cs="Arial"/>
          <w:sz w:val="32"/>
          <w:szCs w:val="32"/>
        </w:rPr>
        <w:t>日12:30至2</w:t>
      </w:r>
      <w:r>
        <w:rPr>
          <w:rFonts w:hint="eastAsia" w:ascii="仿宋" w:hAnsi="仿宋" w:eastAsia="仿宋" w:cs="Arial"/>
          <w:sz w:val="32"/>
          <w:szCs w:val="32"/>
          <w:lang w:val="en-US" w:eastAsia="zh-CN"/>
        </w:rPr>
        <w:t>8</w:t>
      </w:r>
      <w:r>
        <w:rPr>
          <w:rFonts w:hint="eastAsia" w:ascii="仿宋" w:hAnsi="仿宋" w:eastAsia="仿宋" w:cs="Arial"/>
          <w:sz w:val="32"/>
          <w:szCs w:val="32"/>
        </w:rPr>
        <w:t>日23:00</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学生在以上时间段内登录学生园地进行选课。</w:t>
      </w:r>
    </w:p>
    <w:p>
      <w:pPr>
        <w:spacing w:line="360" w:lineRule="auto"/>
        <w:rPr>
          <w:rFonts w:ascii="黑体" w:hAnsi="黑体" w:eastAsia="黑体"/>
          <w:sz w:val="32"/>
          <w:szCs w:val="32"/>
        </w:rPr>
      </w:pPr>
      <w:r>
        <w:rPr>
          <w:rFonts w:ascii="仿宋" w:hAnsi="仿宋" w:eastAsia="仿宋"/>
          <w:sz w:val="32"/>
          <w:szCs w:val="32"/>
        </w:rPr>
        <w:t>  </w:t>
      </w:r>
      <w:r>
        <w:rPr>
          <w:rFonts w:hint="eastAsia" w:ascii="黑体" w:hAnsi="黑体" w:eastAsia="黑体"/>
          <w:sz w:val="32"/>
          <w:szCs w:val="32"/>
        </w:rPr>
        <w:t>三、课程学习方式</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网络进阶式课程，是苏州大学创建的一种类似于</w:t>
      </w:r>
      <w:r>
        <w:rPr>
          <w:rFonts w:ascii="仿宋" w:hAnsi="仿宋" w:eastAsia="仿宋"/>
          <w:sz w:val="32"/>
          <w:szCs w:val="32"/>
        </w:rPr>
        <w:t>SPOC</w:t>
      </w:r>
      <w:r>
        <w:rPr>
          <w:rFonts w:hint="eastAsia" w:ascii="仿宋" w:hAnsi="仿宋" w:eastAsia="仿宋"/>
          <w:sz w:val="32"/>
          <w:szCs w:val="32"/>
        </w:rPr>
        <w:t>（小规模限制性在线课程，</w:t>
      </w:r>
      <w:r>
        <w:rPr>
          <w:rFonts w:ascii="仿宋" w:hAnsi="仿宋" w:eastAsia="仿宋"/>
          <w:sz w:val="32"/>
          <w:szCs w:val="32"/>
        </w:rPr>
        <w:t>Small Private Open Course</w:t>
      </w:r>
      <w:r>
        <w:rPr>
          <w:rFonts w:hint="eastAsia" w:ascii="仿宋" w:hAnsi="仿宋" w:eastAsia="仿宋"/>
          <w:sz w:val="32"/>
          <w:szCs w:val="32"/>
        </w:rPr>
        <w:t>）的课程。网络进阶式课程采用的是一种结合在线教学、课堂教学与课外实践的混合式学习模式，通过线上和线下学习的有效结合，更加强调赋予学生深入、真实地学习体验。</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课程的网上学习以进阶式自主学习为特点，以在线观看教学视频和在线阅读拓展材料为主，同时主讲教师根据课程的特点有针对性地开展课程互动，包括网上作业、专题讨论、网上答疑、阶段测验等。</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除了网上学习外，网络进阶式课程还设计有线下小组学习以及课外实践环节，学生需通过小组合作的方式完成学习报告或者作品成果，在面授课堂上进行汇报或展示，并就此展开师生、生生之间的讨论。面授课的组织也是非常灵活的，既可以采用集中面授的形式，各学习小组也可以通过在网络学习平台上与教师预约时间的方式获得个别指导。通过线上、线下丰富的师生、生生互动，激发学生的思考，帮助学生完成知识内化的过程。</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课程成绩计算方式：课程成绩包含平时成绩和期末成绩两部分，平时成绩由视频学习完成情况、拓展资料学习完成情况、作业成绩、小组研讨成绩、专题讨论参与情况等组成。</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四、课程学习的优势与挑战</w:t>
      </w:r>
    </w:p>
    <w:p>
      <w:pPr>
        <w:spacing w:line="360" w:lineRule="auto"/>
        <w:rPr>
          <w:rFonts w:ascii="楷体" w:hAnsi="楷体" w:eastAsia="楷体"/>
          <w:sz w:val="32"/>
          <w:szCs w:val="32"/>
        </w:rPr>
      </w:pPr>
      <w:r>
        <w:rPr>
          <w:rFonts w:ascii="楷体" w:hAnsi="楷体" w:eastAsia="楷体"/>
          <w:sz w:val="32"/>
          <w:szCs w:val="32"/>
        </w:rPr>
        <w:t>  </w:t>
      </w:r>
      <w:r>
        <w:rPr>
          <w:rFonts w:hint="eastAsia" w:ascii="楷体" w:hAnsi="楷体" w:eastAsia="楷体"/>
          <w:sz w:val="32"/>
          <w:szCs w:val="32"/>
        </w:rPr>
        <w:t>（一）优势</w:t>
      </w:r>
    </w:p>
    <w:p>
      <w:pPr>
        <w:spacing w:line="360" w:lineRule="auto"/>
        <w:rPr>
          <w:rFonts w:ascii="仿宋" w:hAnsi="仿宋" w:eastAsia="仿宋"/>
          <w:sz w:val="32"/>
          <w:szCs w:val="32"/>
        </w:rPr>
      </w:pPr>
      <w:r>
        <w:rPr>
          <w:rFonts w:ascii="仿宋" w:hAnsi="仿宋" w:eastAsia="仿宋"/>
          <w:sz w:val="32"/>
          <w:szCs w:val="32"/>
        </w:rPr>
        <w:t xml:space="preserve">  1. </w:t>
      </w:r>
      <w:r>
        <w:rPr>
          <w:rFonts w:hint="eastAsia" w:ascii="仿宋" w:hAnsi="仿宋" w:eastAsia="仿宋"/>
          <w:sz w:val="32"/>
          <w:szCs w:val="32"/>
        </w:rPr>
        <w:t>打破传统课堂教学对时空的限制，学生可自由安排学习的时间和地点；</w:t>
      </w:r>
    </w:p>
    <w:p>
      <w:pPr>
        <w:spacing w:line="360" w:lineRule="auto"/>
        <w:rPr>
          <w:rFonts w:ascii="仿宋" w:hAnsi="仿宋" w:eastAsia="仿宋"/>
          <w:sz w:val="32"/>
          <w:szCs w:val="32"/>
        </w:rPr>
      </w:pPr>
      <w:r>
        <w:rPr>
          <w:rFonts w:ascii="仿宋" w:hAnsi="仿宋" w:eastAsia="仿宋"/>
          <w:sz w:val="32"/>
          <w:szCs w:val="32"/>
        </w:rPr>
        <w:t xml:space="preserve">  2. </w:t>
      </w:r>
      <w:r>
        <w:rPr>
          <w:rFonts w:hint="eastAsia" w:ascii="仿宋" w:hAnsi="仿宋" w:eastAsia="仿宋"/>
          <w:sz w:val="32"/>
          <w:szCs w:val="32"/>
        </w:rPr>
        <w:t>改变传统课堂以讲授为主的教学模式，提倡以学生为主体的研究型学习模式，充分发挥学生的主观能动性；</w:t>
      </w:r>
    </w:p>
    <w:p>
      <w:pPr>
        <w:spacing w:line="360" w:lineRule="auto"/>
        <w:rPr>
          <w:rFonts w:ascii="仿宋" w:hAnsi="仿宋" w:eastAsia="仿宋"/>
          <w:sz w:val="32"/>
          <w:szCs w:val="32"/>
        </w:rPr>
      </w:pPr>
      <w:r>
        <w:rPr>
          <w:rFonts w:ascii="仿宋" w:hAnsi="仿宋" w:eastAsia="仿宋"/>
          <w:sz w:val="32"/>
          <w:szCs w:val="32"/>
        </w:rPr>
        <w:t xml:space="preserve">  3. </w:t>
      </w:r>
      <w:r>
        <w:rPr>
          <w:rFonts w:hint="eastAsia" w:ascii="仿宋" w:hAnsi="仿宋" w:eastAsia="仿宋"/>
          <w:sz w:val="32"/>
          <w:szCs w:val="32"/>
        </w:rPr>
        <w:t>通过线上线下多样化的互动设计，有效激发学生的思考，培养学生的合作能力、沟通能力和表达能力。</w:t>
      </w:r>
    </w:p>
    <w:p>
      <w:pPr>
        <w:spacing w:line="360" w:lineRule="auto"/>
        <w:rPr>
          <w:rFonts w:ascii="楷体" w:hAnsi="楷体" w:eastAsia="楷体"/>
          <w:sz w:val="32"/>
          <w:szCs w:val="32"/>
        </w:rPr>
      </w:pPr>
      <w:r>
        <w:rPr>
          <w:rFonts w:ascii="楷体" w:hAnsi="楷体" w:eastAsia="楷体"/>
          <w:sz w:val="32"/>
          <w:szCs w:val="32"/>
        </w:rPr>
        <w:t>  </w:t>
      </w:r>
      <w:r>
        <w:rPr>
          <w:rFonts w:hint="eastAsia" w:ascii="楷体" w:hAnsi="楷体" w:eastAsia="楷体"/>
          <w:sz w:val="32"/>
          <w:szCs w:val="32"/>
        </w:rPr>
        <w:t>（二）挑战</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网络进阶式课程对学生主动学习的要求较高，若学生依赖性较强，则预期效果难以达到。</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五、课程推介网址</w:t>
      </w:r>
    </w:p>
    <w:p>
      <w:pPr>
        <w:spacing w:line="360" w:lineRule="auto"/>
        <w:rPr>
          <w:rFonts w:ascii="仿宋" w:hAnsi="仿宋" w:eastAsia="仿宋"/>
          <w:sz w:val="32"/>
          <w:szCs w:val="32"/>
        </w:rPr>
      </w:pPr>
      <w:r>
        <w:rPr>
          <w:rFonts w:ascii="仿宋" w:hAnsi="仿宋" w:eastAsia="仿宋"/>
          <w:sz w:val="32"/>
          <w:szCs w:val="32"/>
        </w:rPr>
        <w:t>  </w:t>
      </w:r>
      <w:r>
        <w:rPr>
          <w:rFonts w:hint="eastAsia" w:ascii="仿宋" w:hAnsi="仿宋" w:eastAsia="仿宋"/>
          <w:sz w:val="32"/>
          <w:szCs w:val="32"/>
        </w:rPr>
        <w:t>每门课程的详细介绍请查看以下网址：</w:t>
      </w:r>
    </w:p>
    <w:p>
      <w:pPr>
        <w:spacing w:line="360" w:lineRule="auto"/>
        <w:rPr>
          <w:rFonts w:ascii="仿宋" w:hAnsi="仿宋" w:eastAsia="仿宋"/>
          <w:sz w:val="32"/>
          <w:szCs w:val="32"/>
        </w:rPr>
      </w:pPr>
      <w:r>
        <w:fldChar w:fldCharType="begin"/>
      </w:r>
      <w:r>
        <w:instrText xml:space="preserve"> HYPERLINK "http://kczx.suda.edu.cn/G2S/ShowSystem/CloudClass.aspx" </w:instrText>
      </w:r>
      <w:r>
        <w:fldChar w:fldCharType="separate"/>
      </w:r>
      <w:r>
        <w:rPr>
          <w:rStyle w:val="7"/>
          <w:rFonts w:ascii="仿宋" w:hAnsi="仿宋" w:eastAsia="仿宋"/>
          <w:sz w:val="32"/>
          <w:szCs w:val="32"/>
        </w:rPr>
        <w:t>http://kczx.suda.edu.cn/G2S/ShowSystem/CloudClass.aspx</w:t>
      </w:r>
      <w:r>
        <w:rPr>
          <w:rStyle w:val="7"/>
          <w:rFonts w:ascii="仿宋" w:hAnsi="仿宋" w:eastAsia="仿宋"/>
          <w:sz w:val="32"/>
          <w:szCs w:val="32"/>
        </w:rPr>
        <w:fldChar w:fldCharType="end"/>
      </w:r>
      <w:r>
        <w:rPr>
          <w:rFonts w:hint="eastAsia" w:ascii="仿宋" w:hAnsi="仿宋" w:eastAsia="仿宋"/>
          <w:sz w:val="32"/>
          <w:szCs w:val="32"/>
        </w:rPr>
        <w:t>。</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关于各</w:t>
      </w:r>
      <w:r>
        <w:rPr>
          <w:rFonts w:ascii="仿宋" w:hAnsi="仿宋" w:eastAsia="仿宋"/>
          <w:sz w:val="32"/>
          <w:szCs w:val="32"/>
        </w:rPr>
        <w:t>课程的面授课时间</w:t>
      </w:r>
      <w:r>
        <w:rPr>
          <w:rFonts w:hint="eastAsia" w:ascii="仿宋" w:hAnsi="仿宋" w:eastAsia="仿宋"/>
          <w:sz w:val="32"/>
          <w:szCs w:val="32"/>
        </w:rPr>
        <w:t>和</w:t>
      </w:r>
      <w:r>
        <w:rPr>
          <w:rFonts w:ascii="仿宋" w:hAnsi="仿宋" w:eastAsia="仿宋"/>
          <w:sz w:val="32"/>
          <w:szCs w:val="32"/>
        </w:rPr>
        <w:t>地点安排</w:t>
      </w:r>
      <w:r>
        <w:rPr>
          <w:rFonts w:hint="eastAsia" w:ascii="仿宋" w:hAnsi="仿宋" w:eastAsia="仿宋"/>
          <w:sz w:val="32"/>
          <w:szCs w:val="32"/>
        </w:rPr>
        <w:t>请在开课前</w:t>
      </w:r>
      <w:r>
        <w:rPr>
          <w:rFonts w:ascii="仿宋" w:hAnsi="仿宋" w:eastAsia="仿宋"/>
          <w:sz w:val="32"/>
          <w:szCs w:val="32"/>
        </w:rPr>
        <w:t>及时关注</w:t>
      </w:r>
      <w:r>
        <w:rPr>
          <w:rFonts w:hint="eastAsia" w:ascii="仿宋" w:hAnsi="仿宋" w:eastAsia="仿宋"/>
          <w:sz w:val="32"/>
          <w:szCs w:val="32"/>
        </w:rPr>
        <w:t>课程</w:t>
      </w:r>
      <w:r>
        <w:rPr>
          <w:rFonts w:ascii="仿宋" w:hAnsi="仿宋" w:eastAsia="仿宋"/>
          <w:sz w:val="32"/>
          <w:szCs w:val="32"/>
        </w:rPr>
        <w:t>网站的“</w:t>
      </w:r>
      <w:r>
        <w:rPr>
          <w:rFonts w:hint="eastAsia" w:ascii="仿宋" w:hAnsi="仿宋" w:eastAsia="仿宋"/>
          <w:sz w:val="32"/>
          <w:szCs w:val="32"/>
        </w:rPr>
        <w:t>课程</w:t>
      </w:r>
      <w:r>
        <w:rPr>
          <w:rFonts w:ascii="仿宋" w:hAnsi="仿宋" w:eastAsia="仿宋"/>
          <w:sz w:val="32"/>
          <w:szCs w:val="32"/>
        </w:rPr>
        <w:t>通知”。</w:t>
      </w:r>
    </w:p>
    <w:p>
      <w:pPr>
        <w:spacing w:line="360" w:lineRule="auto"/>
        <w:rPr>
          <w:rFonts w:ascii="黑体" w:hAnsi="黑体" w:eastAsia="黑体"/>
          <w:sz w:val="32"/>
          <w:szCs w:val="32"/>
        </w:rPr>
      </w:pPr>
      <w:r>
        <w:rPr>
          <w:rFonts w:ascii="黑体" w:hAnsi="黑体" w:eastAsia="黑体"/>
          <w:sz w:val="32"/>
          <w:szCs w:val="32"/>
        </w:rPr>
        <w:t>  </w:t>
      </w:r>
      <w:r>
        <w:rPr>
          <w:rFonts w:hint="eastAsia" w:ascii="黑体" w:hAnsi="黑体" w:eastAsia="黑体"/>
          <w:sz w:val="32"/>
          <w:szCs w:val="32"/>
        </w:rPr>
        <w:t>六、其它需要说明的事项</w:t>
      </w:r>
    </w:p>
    <w:p>
      <w:pPr>
        <w:spacing w:line="360" w:lineRule="auto"/>
        <w:rPr>
          <w:rFonts w:ascii="仿宋" w:hAnsi="仿宋" w:eastAsia="仿宋"/>
          <w:sz w:val="32"/>
          <w:szCs w:val="32"/>
        </w:rPr>
      </w:pPr>
      <w:r>
        <w:rPr>
          <w:rFonts w:ascii="仿宋" w:hAnsi="仿宋" w:eastAsia="仿宋"/>
          <w:sz w:val="32"/>
          <w:szCs w:val="32"/>
        </w:rPr>
        <w:t>  1.</w:t>
      </w:r>
      <w:r>
        <w:rPr>
          <w:rFonts w:hint="eastAsia" w:ascii="仿宋" w:hAnsi="仿宋" w:eastAsia="仿宋"/>
          <w:sz w:val="32"/>
          <w:szCs w:val="32"/>
        </w:rPr>
        <w:t xml:space="preserve"> 下学期即将</w:t>
      </w:r>
      <w:r>
        <w:rPr>
          <w:rFonts w:ascii="仿宋" w:hAnsi="仿宋" w:eastAsia="仿宋"/>
          <w:sz w:val="32"/>
          <w:szCs w:val="32"/>
        </w:rPr>
        <w:t>启用新</w:t>
      </w:r>
      <w:r>
        <w:rPr>
          <w:rFonts w:hint="eastAsia" w:ascii="仿宋" w:hAnsi="仿宋" w:eastAsia="仿宋"/>
          <w:sz w:val="32"/>
          <w:szCs w:val="32"/>
        </w:rPr>
        <w:t>版</w:t>
      </w:r>
      <w:r>
        <w:rPr>
          <w:rFonts w:ascii="仿宋" w:hAnsi="仿宋" w:eastAsia="仿宋"/>
          <w:sz w:val="32"/>
          <w:szCs w:val="32"/>
        </w:rPr>
        <w:t>学习平台，届时将</w:t>
      </w:r>
      <w:r>
        <w:rPr>
          <w:rFonts w:hint="eastAsia" w:ascii="仿宋" w:hAnsi="仿宋" w:eastAsia="仿宋"/>
          <w:sz w:val="32"/>
          <w:szCs w:val="32"/>
        </w:rPr>
        <w:t>在平台</w:t>
      </w:r>
      <w:r>
        <w:rPr>
          <w:rFonts w:ascii="仿宋" w:hAnsi="仿宋" w:eastAsia="仿宋"/>
          <w:sz w:val="32"/>
          <w:szCs w:val="32"/>
        </w:rPr>
        <w:t>上发布</w:t>
      </w:r>
      <w:r>
        <w:rPr>
          <w:rFonts w:hint="eastAsia" w:ascii="仿宋" w:hAnsi="仿宋" w:eastAsia="仿宋"/>
          <w:sz w:val="32"/>
          <w:szCs w:val="32"/>
        </w:rPr>
        <w:t>新版</w:t>
      </w:r>
      <w:r>
        <w:rPr>
          <w:rFonts w:ascii="仿宋" w:hAnsi="仿宋" w:eastAsia="仿宋"/>
          <w:sz w:val="32"/>
          <w:szCs w:val="32"/>
        </w:rPr>
        <w:t>的使用指南，</w:t>
      </w:r>
      <w:r>
        <w:rPr>
          <w:rFonts w:hint="eastAsia" w:ascii="仿宋" w:hAnsi="仿宋" w:eastAsia="仿宋"/>
          <w:sz w:val="32"/>
          <w:szCs w:val="32"/>
        </w:rPr>
        <w:t>请同学们</w:t>
      </w:r>
      <w:r>
        <w:rPr>
          <w:rFonts w:ascii="仿宋" w:hAnsi="仿宋" w:eastAsia="仿宋"/>
          <w:sz w:val="32"/>
          <w:szCs w:val="32"/>
        </w:rPr>
        <w:t>及时关注</w:t>
      </w:r>
      <w:r>
        <w:rPr>
          <w:rFonts w:hint="eastAsia" w:ascii="仿宋" w:hAnsi="仿宋" w:eastAsia="仿宋"/>
          <w:sz w:val="32"/>
          <w:szCs w:val="32"/>
        </w:rPr>
        <w:t>；</w:t>
      </w:r>
    </w:p>
    <w:p>
      <w:pPr>
        <w:spacing w:line="360" w:lineRule="auto"/>
        <w:rPr>
          <w:rFonts w:ascii="仿宋" w:hAnsi="仿宋" w:eastAsia="仿宋"/>
          <w:sz w:val="32"/>
          <w:szCs w:val="32"/>
        </w:rPr>
      </w:pPr>
      <w:r>
        <w:rPr>
          <w:rFonts w:ascii="仿宋" w:hAnsi="仿宋" w:eastAsia="仿宋"/>
          <w:sz w:val="32"/>
          <w:szCs w:val="32"/>
        </w:rPr>
        <w:t xml:space="preserve">  2. </w:t>
      </w:r>
      <w:r>
        <w:rPr>
          <w:rFonts w:hint="eastAsia" w:ascii="仿宋" w:hAnsi="仿宋" w:eastAsia="仿宋"/>
          <w:sz w:val="32"/>
          <w:szCs w:val="32"/>
        </w:rPr>
        <w:t>鉴于网络进阶式课程学习的优势和挑战，请学生根据自己的实际情况理性选择；</w:t>
      </w:r>
    </w:p>
    <w:p>
      <w:pPr>
        <w:spacing w:line="360" w:lineRule="auto"/>
        <w:rPr>
          <w:rFonts w:ascii="仿宋" w:hAnsi="仿宋" w:eastAsia="仿宋"/>
          <w:sz w:val="32"/>
          <w:szCs w:val="32"/>
        </w:rPr>
      </w:pPr>
      <w:r>
        <w:rPr>
          <w:rFonts w:ascii="仿宋" w:hAnsi="仿宋" w:eastAsia="仿宋"/>
          <w:sz w:val="32"/>
          <w:szCs w:val="32"/>
        </w:rPr>
        <w:t xml:space="preserve">  3. </w:t>
      </w:r>
      <w:r>
        <w:rPr>
          <w:rFonts w:hint="eastAsia" w:ascii="仿宋" w:hAnsi="仿宋" w:eastAsia="仿宋"/>
          <w:sz w:val="32"/>
          <w:szCs w:val="32"/>
        </w:rPr>
        <w:t>未尽事宜，咨询电话：</w:t>
      </w:r>
      <w:r>
        <w:rPr>
          <w:rFonts w:ascii="仿宋" w:hAnsi="仿宋" w:eastAsia="仿宋"/>
          <w:sz w:val="32"/>
          <w:szCs w:val="32"/>
        </w:rPr>
        <w:t>0512-6716</w:t>
      </w:r>
      <w:bookmarkEnd w:id="0"/>
      <w:bookmarkEnd w:id="1"/>
      <w:r>
        <w:rPr>
          <w:rFonts w:ascii="仿宋" w:hAnsi="仿宋" w:eastAsia="仿宋"/>
          <w:sz w:val="32"/>
          <w:szCs w:val="32"/>
        </w:rPr>
        <w:t>3625</w:t>
      </w:r>
      <w:r>
        <w:rPr>
          <w:rFonts w:hint="eastAsia" w:ascii="仿宋" w:hAnsi="仿宋" w:eastAsia="仿宋"/>
          <w:sz w:val="32"/>
          <w:szCs w:val="32"/>
        </w:rPr>
        <w:t>。</w:t>
      </w:r>
      <w:bookmarkEnd w:id="2"/>
      <w:bookmarkEnd w:id="3"/>
      <w:bookmarkEnd w:id="4"/>
      <w:bookmarkEnd w:id="5"/>
      <w:bookmarkEnd w:id="6"/>
      <w:bookmarkEnd w:id="7"/>
      <w:bookmarkEnd w:id="8"/>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9"/>
    <w:rsid w:val="00003FD7"/>
    <w:rsid w:val="00030030"/>
    <w:rsid w:val="00035036"/>
    <w:rsid w:val="0004436B"/>
    <w:rsid w:val="00056073"/>
    <w:rsid w:val="000611EA"/>
    <w:rsid w:val="00062996"/>
    <w:rsid w:val="00065C42"/>
    <w:rsid w:val="00074439"/>
    <w:rsid w:val="00092FA6"/>
    <w:rsid w:val="000D3E61"/>
    <w:rsid w:val="000D7370"/>
    <w:rsid w:val="000F5662"/>
    <w:rsid w:val="00104084"/>
    <w:rsid w:val="00105CA0"/>
    <w:rsid w:val="00112857"/>
    <w:rsid w:val="001143C2"/>
    <w:rsid w:val="001432FD"/>
    <w:rsid w:val="00144A6B"/>
    <w:rsid w:val="00166855"/>
    <w:rsid w:val="00191966"/>
    <w:rsid w:val="00195DDE"/>
    <w:rsid w:val="001B12BF"/>
    <w:rsid w:val="001C07DA"/>
    <w:rsid w:val="001C142D"/>
    <w:rsid w:val="001C7621"/>
    <w:rsid w:val="001E0E37"/>
    <w:rsid w:val="001E3237"/>
    <w:rsid w:val="001E7981"/>
    <w:rsid w:val="001F4313"/>
    <w:rsid w:val="0020283B"/>
    <w:rsid w:val="0021313D"/>
    <w:rsid w:val="00222794"/>
    <w:rsid w:val="0022288C"/>
    <w:rsid w:val="002254EB"/>
    <w:rsid w:val="00262D83"/>
    <w:rsid w:val="0026601C"/>
    <w:rsid w:val="00267553"/>
    <w:rsid w:val="002869EA"/>
    <w:rsid w:val="002934A4"/>
    <w:rsid w:val="002939E3"/>
    <w:rsid w:val="002B2B96"/>
    <w:rsid w:val="002D1D9A"/>
    <w:rsid w:val="002D4D18"/>
    <w:rsid w:val="002E0E6F"/>
    <w:rsid w:val="00310174"/>
    <w:rsid w:val="0035213B"/>
    <w:rsid w:val="003557FB"/>
    <w:rsid w:val="003751FF"/>
    <w:rsid w:val="00377A93"/>
    <w:rsid w:val="0038194B"/>
    <w:rsid w:val="0038798A"/>
    <w:rsid w:val="00396381"/>
    <w:rsid w:val="00397237"/>
    <w:rsid w:val="003B06E1"/>
    <w:rsid w:val="003C1D1E"/>
    <w:rsid w:val="003D03CA"/>
    <w:rsid w:val="00443F31"/>
    <w:rsid w:val="00453A0B"/>
    <w:rsid w:val="00462DD7"/>
    <w:rsid w:val="0047116B"/>
    <w:rsid w:val="004870DB"/>
    <w:rsid w:val="00487395"/>
    <w:rsid w:val="00496ABE"/>
    <w:rsid w:val="004B5EC8"/>
    <w:rsid w:val="004C0A41"/>
    <w:rsid w:val="004C6B94"/>
    <w:rsid w:val="004D1637"/>
    <w:rsid w:val="004D2567"/>
    <w:rsid w:val="00502F1A"/>
    <w:rsid w:val="00504032"/>
    <w:rsid w:val="005046FD"/>
    <w:rsid w:val="00522293"/>
    <w:rsid w:val="00547DA4"/>
    <w:rsid w:val="00553329"/>
    <w:rsid w:val="0056700B"/>
    <w:rsid w:val="005754C0"/>
    <w:rsid w:val="0059141E"/>
    <w:rsid w:val="005C022C"/>
    <w:rsid w:val="005D591A"/>
    <w:rsid w:val="005E6632"/>
    <w:rsid w:val="005F0CBE"/>
    <w:rsid w:val="005F0FDA"/>
    <w:rsid w:val="005F4253"/>
    <w:rsid w:val="00642CE9"/>
    <w:rsid w:val="00660134"/>
    <w:rsid w:val="006612CE"/>
    <w:rsid w:val="006670A0"/>
    <w:rsid w:val="0067479D"/>
    <w:rsid w:val="00681C72"/>
    <w:rsid w:val="00685C10"/>
    <w:rsid w:val="006A5DE1"/>
    <w:rsid w:val="006B0C33"/>
    <w:rsid w:val="006D29BF"/>
    <w:rsid w:val="00703694"/>
    <w:rsid w:val="007147CF"/>
    <w:rsid w:val="00723139"/>
    <w:rsid w:val="00735E0C"/>
    <w:rsid w:val="00746E8C"/>
    <w:rsid w:val="00753632"/>
    <w:rsid w:val="007776AE"/>
    <w:rsid w:val="00785B70"/>
    <w:rsid w:val="00786935"/>
    <w:rsid w:val="007912B4"/>
    <w:rsid w:val="00793AB8"/>
    <w:rsid w:val="007B13DD"/>
    <w:rsid w:val="007B7823"/>
    <w:rsid w:val="007D0336"/>
    <w:rsid w:val="007D7E56"/>
    <w:rsid w:val="007E13A7"/>
    <w:rsid w:val="00821BB3"/>
    <w:rsid w:val="0086535B"/>
    <w:rsid w:val="00876D3C"/>
    <w:rsid w:val="008802F6"/>
    <w:rsid w:val="008C66E3"/>
    <w:rsid w:val="008D00EA"/>
    <w:rsid w:val="008D085B"/>
    <w:rsid w:val="008D5387"/>
    <w:rsid w:val="008D6033"/>
    <w:rsid w:val="008F788D"/>
    <w:rsid w:val="009321C2"/>
    <w:rsid w:val="0094064D"/>
    <w:rsid w:val="0095454E"/>
    <w:rsid w:val="00954EF6"/>
    <w:rsid w:val="00973D15"/>
    <w:rsid w:val="00981C28"/>
    <w:rsid w:val="0098236E"/>
    <w:rsid w:val="009E0798"/>
    <w:rsid w:val="009E4AEB"/>
    <w:rsid w:val="009F42B1"/>
    <w:rsid w:val="009F4787"/>
    <w:rsid w:val="00A01FAD"/>
    <w:rsid w:val="00A0560B"/>
    <w:rsid w:val="00A249E0"/>
    <w:rsid w:val="00A31189"/>
    <w:rsid w:val="00A34DD6"/>
    <w:rsid w:val="00A73165"/>
    <w:rsid w:val="00A746EF"/>
    <w:rsid w:val="00A8507D"/>
    <w:rsid w:val="00AB10CC"/>
    <w:rsid w:val="00AB2309"/>
    <w:rsid w:val="00AB79A5"/>
    <w:rsid w:val="00AC18EC"/>
    <w:rsid w:val="00AE2C5E"/>
    <w:rsid w:val="00B21651"/>
    <w:rsid w:val="00B238FE"/>
    <w:rsid w:val="00B26FBD"/>
    <w:rsid w:val="00B52D26"/>
    <w:rsid w:val="00B544B9"/>
    <w:rsid w:val="00B570DD"/>
    <w:rsid w:val="00B616AB"/>
    <w:rsid w:val="00B75AA3"/>
    <w:rsid w:val="00B9118B"/>
    <w:rsid w:val="00BA156B"/>
    <w:rsid w:val="00BE3A30"/>
    <w:rsid w:val="00BE437B"/>
    <w:rsid w:val="00C169D8"/>
    <w:rsid w:val="00C2409F"/>
    <w:rsid w:val="00C25455"/>
    <w:rsid w:val="00C323CD"/>
    <w:rsid w:val="00C53929"/>
    <w:rsid w:val="00C57ED8"/>
    <w:rsid w:val="00C67580"/>
    <w:rsid w:val="00C73460"/>
    <w:rsid w:val="00C7366C"/>
    <w:rsid w:val="00C77CC9"/>
    <w:rsid w:val="00CA580A"/>
    <w:rsid w:val="00CB06E3"/>
    <w:rsid w:val="00CB35ED"/>
    <w:rsid w:val="00CD296A"/>
    <w:rsid w:val="00CE0341"/>
    <w:rsid w:val="00CE32CD"/>
    <w:rsid w:val="00CE6BE7"/>
    <w:rsid w:val="00CF23CB"/>
    <w:rsid w:val="00D06E1F"/>
    <w:rsid w:val="00D11C70"/>
    <w:rsid w:val="00D235FF"/>
    <w:rsid w:val="00D47D71"/>
    <w:rsid w:val="00D57621"/>
    <w:rsid w:val="00D63E32"/>
    <w:rsid w:val="00D64DD7"/>
    <w:rsid w:val="00D67422"/>
    <w:rsid w:val="00D80003"/>
    <w:rsid w:val="00D92B49"/>
    <w:rsid w:val="00D92C29"/>
    <w:rsid w:val="00DA662A"/>
    <w:rsid w:val="00DB5A0B"/>
    <w:rsid w:val="00DB5EC9"/>
    <w:rsid w:val="00DB65C7"/>
    <w:rsid w:val="00DC008F"/>
    <w:rsid w:val="00DD0239"/>
    <w:rsid w:val="00DD2EF1"/>
    <w:rsid w:val="00DE7A8D"/>
    <w:rsid w:val="00E13FA1"/>
    <w:rsid w:val="00E23FB8"/>
    <w:rsid w:val="00E30471"/>
    <w:rsid w:val="00E313E6"/>
    <w:rsid w:val="00E33DE8"/>
    <w:rsid w:val="00E401FD"/>
    <w:rsid w:val="00E42A76"/>
    <w:rsid w:val="00E47E21"/>
    <w:rsid w:val="00EC23A0"/>
    <w:rsid w:val="00EE51E7"/>
    <w:rsid w:val="00EF6F0D"/>
    <w:rsid w:val="00F00501"/>
    <w:rsid w:val="00F51F30"/>
    <w:rsid w:val="00F56102"/>
    <w:rsid w:val="00F602D1"/>
    <w:rsid w:val="00F722AB"/>
    <w:rsid w:val="00F91BAF"/>
    <w:rsid w:val="00FA5939"/>
    <w:rsid w:val="00FC52A6"/>
    <w:rsid w:val="00FF03C6"/>
    <w:rsid w:val="00FF2938"/>
    <w:rsid w:val="1C665B15"/>
    <w:rsid w:val="6BA51DB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sz w:val="18"/>
      <w:szCs w:val="20"/>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sz w:val="18"/>
      <w:szCs w:val="20"/>
    </w:rPr>
  </w:style>
  <w:style w:type="paragraph" w:styleId="4">
    <w:name w:val="footnote text"/>
    <w:basedOn w:val="1"/>
    <w:link w:val="13"/>
    <w:semiHidden/>
    <w:qFormat/>
    <w:uiPriority w:val="99"/>
    <w:pPr>
      <w:snapToGrid w:val="0"/>
      <w:jc w:val="left"/>
    </w:pPr>
    <w:rPr>
      <w:sz w:val="18"/>
      <w:szCs w:val="18"/>
    </w:rPr>
  </w:style>
  <w:style w:type="character" w:styleId="6">
    <w:name w:val="FollowedHyperlink"/>
    <w:uiPriority w:val="99"/>
    <w:rPr>
      <w:rFonts w:cs="Times New Roman"/>
      <w:color w:val="800080"/>
      <w:u w:val="single"/>
    </w:rPr>
  </w:style>
  <w:style w:type="character" w:styleId="7">
    <w:name w:val="Hyperlink"/>
    <w:qFormat/>
    <w:uiPriority w:val="99"/>
    <w:rPr>
      <w:rFonts w:cs="Times New Roman"/>
      <w:color w:val="0000FF"/>
      <w:u w:val="single"/>
    </w:rPr>
  </w:style>
  <w:style w:type="character" w:styleId="8">
    <w:name w:val="footnote reference"/>
    <w:semiHidden/>
    <w:qFormat/>
    <w:uiPriority w:val="99"/>
    <w:rPr>
      <w:rFonts w:cs="Times New Roman"/>
      <w:vertAlign w:val="superscript"/>
    </w:rPr>
  </w:style>
  <w:style w:type="table" w:styleId="10">
    <w:name w:val="Table Grid"/>
    <w:basedOn w:val="9"/>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字符"/>
    <w:link w:val="3"/>
    <w:qFormat/>
    <w:locked/>
    <w:uiPriority w:val="99"/>
    <w:rPr>
      <w:kern w:val="2"/>
      <w:sz w:val="18"/>
    </w:rPr>
  </w:style>
  <w:style w:type="character" w:customStyle="1" w:styleId="12">
    <w:name w:val="页脚 字符"/>
    <w:link w:val="2"/>
    <w:qFormat/>
    <w:locked/>
    <w:uiPriority w:val="99"/>
    <w:rPr>
      <w:kern w:val="2"/>
      <w:sz w:val="18"/>
    </w:rPr>
  </w:style>
  <w:style w:type="character" w:customStyle="1" w:styleId="13">
    <w:name w:val="脚注文本 字符"/>
    <w:link w:val="4"/>
    <w:semiHidden/>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Suda</Company>
  <Pages>4</Pages>
  <Words>244</Words>
  <Characters>1392</Characters>
  <Lines>11</Lines>
  <Paragraphs>3</Paragraphs>
  <ScaleCrop>false</ScaleCrop>
  <LinksUpToDate>false</LinksUpToDate>
  <CharactersWithSpaces>1633</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2017-05-15T05:28:00Z</dcterms:created>
  <dc:creator>Helen</dc:creator>
  <cp:lastModifiedBy>chenm</cp:lastModifiedBy>
  <dcterms:modified xsi:type="dcterms:W3CDTF">2017-05-19T07:33:58Z</dcterms:modified>
  <dc:title>2013-2014学年第二学期网络公选课选课指南</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